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ГИГИЕНИЧЕСКОМУ ОБУЧЕНИЮ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786" w:rsidRDefault="0073756D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B3786" w:rsidRPr="005B3786">
        <w:rPr>
          <w:rFonts w:ascii="Times New Roman" w:hAnsi="Times New Roman" w:cs="Times New Roman"/>
          <w:sz w:val="28"/>
          <w:szCs w:val="28"/>
          <w:lang w:val="ru-RU"/>
        </w:rPr>
        <w:t>РАБОТНИКОВ ВОДОПРОВОДНЫХ СООРУЖЕНИЙ И КАНАЛИЗАЦИОННОГО  ХОЗЯЙСТВА</w:t>
      </w:r>
    </w:p>
    <w:p w:rsidR="0073756D" w:rsidRPr="000649E8" w:rsidRDefault="005B3786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ОЧНО-ЗАОЧНОЙ ФОРМЫ ОБУЧЕНИЯ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F83AD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75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Pr="00A310DB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0D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D56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Основы законодательства Республики Беларусь в области обеспечения санитарно-эпидемиологического благополучия населения.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Понятие об инфекционных заболеваниях. Профилактика инфекционных заболеваний, передающихся через воду.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3.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Значение  воды в жизни человека. Источники водоснабжения, их гигиеническая  характеристика.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4.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 Зоны санитарной охраны источников водоснабжения и  водопроводов хозяйственно-питьевого водоснабжения.  Санитарно-гигиенический режим на  территории зон санитарной охраны. 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Гигиенические нормативы качества питьевой воды. Организация производственного контроля.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Обязательные медицинские осмотры. Гигиеническое обучение. Правила личной гигиены.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8.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жизни. Принципы  здорового образа жизни, пути формирования.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3AD2" w:rsidRDefault="00F83AD2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F83AD2" w:rsidRDefault="00F83AD2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FF192E" w:rsidRDefault="0073756D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lastRenderedPageBreak/>
        <w:t>Раздел 1.</w:t>
      </w:r>
    </w:p>
    <w:p w:rsidR="0073756D" w:rsidRPr="004870A5" w:rsidRDefault="0073756D" w:rsidP="00FF192E">
      <w:pPr>
        <w:pStyle w:val="PreformattedText"/>
        <w:ind w:left="-142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Основы законодательства Республики Беларусь в области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обеспечения санитарно-эпидемиологического благополучия населения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для работников водопроводных сооружений и канализационного  хозяйства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 Республики Беларусь «О санитарно-эпидемиологическом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благополучии населения» от 7 января 2012 г. № 340-3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- Закон)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устанавливает 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организационные основы предотвращения неблагоприятного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в целях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санитарно-эпидемиологического благополучия населения.  Санитарно-эпидемиологическое благополучие населения — состояние здоровья 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обитания человека, при котором отсутствует вредное воздействие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и обеспечиваются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благоприятные условия его жизнедеятельности.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Таможенного союза </w:t>
      </w:r>
      <w:r w:rsidRPr="001D474C">
        <w:rPr>
          <w:rFonts w:ascii="Calibri" w:hAnsi="Calibri" w:cs="Calibri"/>
          <w:sz w:val="22"/>
          <w:szCs w:val="22"/>
          <w:lang w:val="ru-RU" w:eastAsia="en-US"/>
        </w:rPr>
        <w:t>«</w:t>
      </w:r>
      <w:r w:rsidRPr="001D474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безопасности парфюмерно-косметической продукции» (ТР ТС 009/2011)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продукции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 полной версией технических регламентов Таможенного союза можно ознакомиться в сети Интернет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http://docs.eaeunion.org/ru-ru//.</w:t>
      </w:r>
    </w:p>
    <w:p w:rsidR="00CE71F2" w:rsidRDefault="0073756D" w:rsidP="00CE71F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эксплуатации капитальных строений (зданий, сооружений), изолированных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помещений и иных объектов, принадлежащих субъектам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утвержденные Декретом Президента Республики Беларусь от 23.11.2017 № 7,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устанавливают общие требования к содержанию и эксплуатации капитальных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строений (зданий, сооружений), изолированных помещений и иных объектов,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принадлежащих субъектам хозяйствования, в целях обеспечения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безвредности для человека условий деятельности субъектов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производимой ими продукции, выполняемых работ, оказываемых услуг.</w:t>
      </w:r>
      <w:r w:rsidR="00CE71F2" w:rsidRPr="00CE7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31 Закона, организации и индивидуальные предприниматели в области санитарно-эпидемиологического благополучия населения обязаны соблюдать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F6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14D">
        <w:rPr>
          <w:rFonts w:ascii="Times New Roman" w:hAnsi="Times New Roman" w:cs="Times New Roman"/>
          <w:sz w:val="28"/>
          <w:szCs w:val="28"/>
          <w:lang w:val="ru-RU"/>
        </w:rPr>
        <w:t>специфические санитарно-эпидемиологические требования и гигиенические нормативы, определенные Совето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Министров Республики Беларусь;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иные санитарно-эпидемиологические требования при необеспечении в процессе экономической деятельности безопасности иным способом, </w:t>
      </w:r>
      <w:r w:rsidRPr="00DE291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исключающим причинени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вреда жизни здоровью граждан.</w:t>
      </w:r>
    </w:p>
    <w:p w:rsidR="009113AB" w:rsidRDefault="009113AB" w:rsidP="009113A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к содержанию и эксплуатации источников и систем питьевого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постановлением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19.12.2018 № 914 (в редакции постановления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ики Беларусь от 06.02.2024 № 85)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к условиям труда работающих, 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01.02.2020 № 66;</w:t>
      </w:r>
    </w:p>
    <w:p w:rsidR="008F3171" w:rsidRDefault="008F3171" w:rsidP="008F317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8F3171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питьевой воды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74710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747103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13 Закона, 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C79">
        <w:rPr>
          <w:rFonts w:ascii="Times New Roman" w:hAnsi="Times New Roman" w:cs="Times New Roman"/>
          <w:sz w:val="28"/>
          <w:szCs w:val="28"/>
          <w:lang w:val="ru-RU"/>
        </w:rPr>
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</w:t>
      </w:r>
      <w:r>
        <w:rPr>
          <w:rFonts w:ascii="Times New Roman" w:hAnsi="Times New Roman" w:cs="Times New Roman"/>
          <w:sz w:val="28"/>
          <w:szCs w:val="28"/>
          <w:lang w:val="ru-RU"/>
        </w:rPr>
        <w:t>ки Беларусь от 27.12.2003 № 183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дополнениями и изменениями, утвержденными постановлением 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здравоохранения Республики Беларусь от </w:t>
      </w:r>
      <w:r w:rsidR="008F317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.08.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2010 г. № 117.</w:t>
      </w:r>
    </w:p>
    <w:p w:rsidR="0042493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3FD">
        <w:rPr>
          <w:rFonts w:ascii="Times New Roman" w:hAnsi="Times New Roman" w:cs="Times New Roman"/>
          <w:sz w:val="28"/>
          <w:szCs w:val="28"/>
          <w:lang w:val="ru-RU"/>
        </w:rPr>
        <w:t>С перечнем действующих технических нормативных правовых актов органов и учреждений, осуществляющих государствен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санитарный надзор, а также </w:t>
      </w:r>
      <w:r w:rsidRPr="004603FD">
        <w:rPr>
          <w:rFonts w:ascii="Times New Roman" w:hAnsi="Times New Roman" w:cs="Times New Roman"/>
          <w:sz w:val="28"/>
          <w:szCs w:val="28"/>
          <w:lang w:val="ru-RU"/>
        </w:rPr>
        <w:t>с полными текстами  Санитарных норм и правил можно ознакомиться на сайте Министерства здравоохранения Республики Беларусь (www.minzdrav.gov.by) в разделе нормативная правовая база.</w:t>
      </w:r>
    </w:p>
    <w:p w:rsidR="00FF192E" w:rsidRDefault="00424938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lastRenderedPageBreak/>
        <w:t>Раздел 2</w:t>
      </w:r>
      <w:r w:rsidR="00A310DB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 xml:space="preserve">. </w:t>
      </w:r>
    </w:p>
    <w:p w:rsidR="004870A5" w:rsidRPr="004870A5" w:rsidRDefault="004870A5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>Понятие об инфекционных заболеваниях. Профилактика инфекционных заболеваний, передающихся через воду.</w:t>
      </w:r>
    </w:p>
    <w:p w:rsidR="004870A5" w:rsidRDefault="004870A5" w:rsidP="00A310DB">
      <w:pPr>
        <w:widowControl/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</w:p>
    <w:p w:rsidR="0073756D" w:rsidRPr="00356713" w:rsidRDefault="0073756D" w:rsidP="00FF192E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Инфекционные заболевания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–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заболевания, вызванные проникн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вением в организм человека болезнетворных (патогенных) микроорганизмов. Отличие от неинфекционных заболеваний заключается в способности к распр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странению, причем, если распространение ограничивается границами семейн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го очага, коллектива, то речь идет о локальной вспышке или групповой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ваемости. Значительное распространение какого-либо инфекционного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ания среди людей носит название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эпидемия, а если охвачены страны мира – пандемия.</w:t>
      </w:r>
    </w:p>
    <w:p w:rsidR="0073756D" w:rsidRPr="00356713" w:rsidRDefault="0073756D" w:rsidP="00A310DB">
      <w:pPr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Микроорганизмы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мельчайшие живые существа. Они настолько малы, что их можно увидеть только с помощью микроскопа. В зависимости от размера, других признаков микроорганизмы подразделяются на бактерии, в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и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русы, риккетсии, вибрионы и др. Микроорганизмы очень широко распростр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нены в природе (почва, воздух, вода), откуда они могут попадать на пищевые продукты. Много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Существуют также микроорганизмы, способные вызывать у человека или животных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вания - это болезнетворные (патогенные) микроорганизмы. Для возникновения заболевания в организм человека должно попасть определенное количество микроорганизмов или токсина (заражающая доза). Токсины - это продукт жи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з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недеятельности патогенных микроорганизмов. Для каждого инфекционного з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болевания существует своя заражающая доза, которая колеблется от нескол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ь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ких микроорганизмов до миллионов. </w:t>
      </w:r>
    </w:p>
    <w:p w:rsidR="00C35B98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Кишечные инфекции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воды, при вирусных инфекциях, кроме того, через мельчайшие капельки слюны и мокроты при кашле и чихании, через испражнения больного. При контактно-бытовом пути возбудитель может передаваться через загрязненные руки, предметы домашнего обихода (белье, полотенца, посуда, игрушки). 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 Возбудители кишечных инфекций отличаются большой устойчивостью во внешней среде.</w:t>
      </w:r>
    </w:p>
    <w:p w:rsidR="004870A5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ы выдерживают нагревание до 65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С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º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 течение 30 минут, сохраняют жизнеспособность в пыли до 80 дней, в почве живут несколько лет. Дизентерийные микробы сохраняются во внешней среде до 30-45 дней. 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 xml:space="preserve">Энтеровирусы выживают в водопроводной воде до 18 дней,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норовирусы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устойчивы к высыханию, замораживанию, нагреванию до 60гр. С и погибают только от хлорсодержащих дезинфицирующих средств. Источником инфекции при дизентерии является только больной человек, при сальмонеллезе - больной человек и животные. Например, до 30% сальмонеллы обнаруживаются у овец, до 15% - у свиней, до 40% - у мышевидных грызунов, до 50% - у гусей и уток. Как правило, кишечные инфекции начинаются остро. Отмечается повышенная температура тела, снижение аппетита, тошнота, рвота, жидкий стул, головная боль и пр. Серьезным последствием кишечной инфекции является обезвоживание организма, особенно тяжело протекающее у детей и у пожилых людей. Клиническая картина заболеваний различается в зависимости от вида кишечной инфекции. 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заражения окружающих. Среди людей все чаще выявляются здоровые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бактерионосители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сальмонелл, здоровые вирусоносители ротавирусной и энтеровирусной инфекции. Взрослый человек может не заметить, что он носитель ротавирусной инфекции, болезнь, как правило, протекает со стертыми симптомами (снижение аппетита, кратковременное повышение температуры), но в этот период человек является заразным! Люди, инфицированные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норовирусом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способны заразить окружающих во время разгара заболевания и в течение последующих 2-х суток, а иногда в течение 2-х недель после начала заболевания. </w:t>
      </w:r>
    </w:p>
    <w:p w:rsidR="00C35B98" w:rsidRPr="00C35B98" w:rsidRDefault="00C35B98" w:rsidP="00FF192E">
      <w:pPr>
        <w:pStyle w:val="PreformattedText"/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>Заболевания человека, связанные с водой, условно подразделяются на 4 группы, это: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водой, зараженной болезнетворными микроорганизмами (тиф, холера, дизентерия, полиомиелит, гастроэнтерит,);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 кожи и слизистой, возникающие при использовании загрязненной воды для умывания (например, трахома);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паразитами, живущими в воде (шистосоматоз и ришта);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живущими и размножающимися в воде насекомыми – переносчиками инфекции (малярия, желтая лихорадка.).</w:t>
      </w:r>
    </w:p>
    <w:p w:rsidR="00C35B98" w:rsidRPr="00C35B98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Наиболее опасной для здоровья и самой распространенной на нашей планете является группа, где загрязненная болезнетворными микроорганизмами вода употребляется непосредственно для питья и приготовления пищи. Употребляя загрязненную воду в пищевых целях, возможно развитие таких заболеваний, как холера, полиомиелит, гепатит Е, дизентерия, брюшной тиф, и многие другие тяжелые заболевания, которые могут привести к неблагоприятным, вплоть до инвалидизации и смерти.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В мире ежегодно, вследствие употребления небезопасной питьевой воды, умирает более 842 000 человек, причем в подавляющем большинстве случаев избежать трагических последствий можно было бы при должной профилактике и устранению соответствующих факторы риска.</w:t>
      </w:r>
    </w:p>
    <w:p w:rsidR="00C35B98" w:rsidRPr="00FF192E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</w:p>
    <w:p w:rsidR="004870A5" w:rsidRPr="00FF192E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t>Профилактика инфекционных заболеваний, передающихся через воду: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Пейте воду только из проверенного источника водоснабжения;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вы не уверены в безопасности питьевого источника, используйте кипяченую или бутилированную воду;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На отдыхе в экзотических странах пользуйтесь исключительно бутилированной водой, причем не только для питья, но и для умывания, чистки зубов;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страна является неблагополучной по каким-либо инфекционным заболеваниям (особенно это касается особо опасных заболеваний, таких как желтая лихорадка, брюшной тиф, менингококковые инфекции, вирусные гепатиты), сделайте профилактическую прививку против указанных инфекций;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Купайтесь в разрешенных для этих целей водоемах;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мойте овощи, фрукты и посуду водой из водоема;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заглатывайте воду при купании;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Мойте руки только чистой водой с мылом перед едой, после туалета, после прогулок, контакта с животными, гаджетами или деньгами.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 w:type="page"/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 воды в жизни челове</w:t>
      </w:r>
      <w:r w:rsidR="00FF1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ка. Источники водоснабжения, их</w:t>
      </w:r>
    </w:p>
    <w:p w:rsidR="0073756D" w:rsidRPr="00B94D56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 характеристика.</w:t>
      </w:r>
    </w:p>
    <w:p w:rsidR="00FF192E" w:rsidRDefault="00FF192E" w:rsidP="00931946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DB">
        <w:rPr>
          <w:rFonts w:ascii="Times New Roman" w:hAnsi="Times New Roman" w:cs="Times New Roman"/>
          <w:b/>
          <w:bCs/>
          <w:sz w:val="28"/>
          <w:szCs w:val="28"/>
        </w:rPr>
        <w:t xml:space="preserve">Главный потребитель воды на Земле — это человек. </w:t>
      </w:r>
      <w:r w:rsidRPr="00931946">
        <w:rPr>
          <w:rFonts w:ascii="Times New Roman" w:hAnsi="Times New Roman" w:cs="Times New Roman"/>
          <w:bCs/>
          <w:sz w:val="28"/>
          <w:szCs w:val="28"/>
        </w:rPr>
        <w:t>Не случайно все мировые цивилизации формировались и развивались исключительно вблизи водоемов. Значение же воды в жизни человека просто огромное.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Тело человека тоже состоит из воды. В теле новорожденного — до 75% воды, в теле пожилого человека — более 50%. При этом известно, что без воды человек не выживет. Так, когда у нас исчезает хотя бы 2% воды из организма, начинается мучительная жажда. При потере более 12% воды человеку ужу не восстановится без помощи врачей. А потеряв 20% воды из организма, человек умирает.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Вода является для человека исключительно важным источником питания. По статистике человек за месяц в норме потребляет 60 литров воды (2 литра в день).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Именно вода доставляет к каждой клеточке нашего организма кислород и питательные вещества.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Благодаря наличию воды наш организм может регул</w:t>
      </w:r>
      <w:r w:rsidRPr="00931946">
        <w:rPr>
          <w:rFonts w:ascii="Times New Roman" w:hAnsi="Times New Roman" w:cs="Times New Roman"/>
          <w:bCs/>
          <w:sz w:val="28"/>
          <w:szCs w:val="28"/>
        </w:rPr>
        <w:t>и</w:t>
      </w:r>
      <w:r w:rsidRPr="00931946">
        <w:rPr>
          <w:rFonts w:ascii="Times New Roman" w:hAnsi="Times New Roman" w:cs="Times New Roman"/>
          <w:bCs/>
          <w:sz w:val="28"/>
          <w:szCs w:val="28"/>
        </w:rPr>
        <w:t>ровать температуру тела.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Вода также позволяет перерабатывать пищу в эне</w:t>
      </w:r>
      <w:r w:rsidRPr="00931946">
        <w:rPr>
          <w:rFonts w:ascii="Times New Roman" w:hAnsi="Times New Roman" w:cs="Times New Roman"/>
          <w:bCs/>
          <w:sz w:val="28"/>
          <w:szCs w:val="28"/>
        </w:rPr>
        <w:t>р</w:t>
      </w:r>
      <w:r w:rsidRPr="00931946">
        <w:rPr>
          <w:rFonts w:ascii="Times New Roman" w:hAnsi="Times New Roman" w:cs="Times New Roman"/>
          <w:bCs/>
          <w:sz w:val="28"/>
          <w:szCs w:val="28"/>
        </w:rPr>
        <w:t>гию, помогает клеткам усваивать питательные вещества. А еще вода выводит шлаки и отходы из нашего тела.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Человек повсеместно использует воду для своих нужд: для питания, в сельском хозяйстве, для различного производства, для выработки электроэне</w:t>
      </w:r>
      <w:r w:rsidRPr="00931946">
        <w:rPr>
          <w:rFonts w:ascii="Times New Roman" w:hAnsi="Times New Roman" w:cs="Times New Roman"/>
          <w:bCs/>
          <w:sz w:val="28"/>
          <w:szCs w:val="28"/>
        </w:rPr>
        <w:t>р</w:t>
      </w:r>
      <w:r w:rsidRPr="00931946">
        <w:rPr>
          <w:rFonts w:ascii="Times New Roman" w:hAnsi="Times New Roman" w:cs="Times New Roman"/>
          <w:bCs/>
          <w:sz w:val="28"/>
          <w:szCs w:val="28"/>
        </w:rPr>
        <w:t>гии. Неудивительно, что борьба за водные ресурсы идет нешуточная. Вот всего лишь несколько фактов:</w:t>
      </w:r>
    </w:p>
    <w:p w:rsidR="00931946" w:rsidRPr="00931946" w:rsidRDefault="00931946" w:rsidP="009319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Более 70% нашей планеты покрыто водой. Но при этом всего 3% всей в</w:t>
      </w:r>
      <w:r w:rsidRPr="00931946">
        <w:rPr>
          <w:rFonts w:ascii="Times New Roman" w:hAnsi="Times New Roman" w:cs="Times New Roman"/>
          <w:bCs/>
          <w:sz w:val="28"/>
          <w:szCs w:val="28"/>
        </w:rPr>
        <w:t>о</w:t>
      </w:r>
      <w:r w:rsidRPr="00931946">
        <w:rPr>
          <w:rFonts w:ascii="Times New Roman" w:hAnsi="Times New Roman" w:cs="Times New Roman"/>
          <w:bCs/>
          <w:sz w:val="28"/>
          <w:szCs w:val="28"/>
        </w:rPr>
        <w:t>ды можно отнести к питьевой. И доступ к этому ресурсу с каждым годом ст</w:t>
      </w:r>
      <w:r w:rsidRPr="00931946">
        <w:rPr>
          <w:rFonts w:ascii="Times New Roman" w:hAnsi="Times New Roman" w:cs="Times New Roman"/>
          <w:bCs/>
          <w:sz w:val="28"/>
          <w:szCs w:val="28"/>
        </w:rPr>
        <w:t>а</w:t>
      </w:r>
      <w:r w:rsidRPr="00931946">
        <w:rPr>
          <w:rFonts w:ascii="Times New Roman" w:hAnsi="Times New Roman" w:cs="Times New Roman"/>
          <w:bCs/>
          <w:sz w:val="28"/>
          <w:szCs w:val="28"/>
        </w:rPr>
        <w:t>новится все труднее. Так, по данным РИА-новости за последние 50 лет на нашей планете произошло более 500 конфликтов, связанных с борьбой за во</w:t>
      </w:r>
      <w:r w:rsidRPr="00931946">
        <w:rPr>
          <w:rFonts w:ascii="Times New Roman" w:hAnsi="Times New Roman" w:cs="Times New Roman"/>
          <w:bCs/>
          <w:sz w:val="28"/>
          <w:szCs w:val="28"/>
        </w:rPr>
        <w:t>д</w:t>
      </w:r>
      <w:r w:rsidRPr="00931946">
        <w:rPr>
          <w:rFonts w:ascii="Times New Roman" w:hAnsi="Times New Roman" w:cs="Times New Roman"/>
          <w:bCs/>
          <w:sz w:val="28"/>
          <w:szCs w:val="28"/>
        </w:rPr>
        <w:t>ные ресурсы. Из них более 20 конфликтов переросли в вооруженные столкн</w:t>
      </w:r>
      <w:r w:rsidRPr="00931946">
        <w:rPr>
          <w:rFonts w:ascii="Times New Roman" w:hAnsi="Times New Roman" w:cs="Times New Roman"/>
          <w:bCs/>
          <w:sz w:val="28"/>
          <w:szCs w:val="28"/>
        </w:rPr>
        <w:t>о</w:t>
      </w:r>
      <w:r w:rsidRPr="00931946">
        <w:rPr>
          <w:rFonts w:ascii="Times New Roman" w:hAnsi="Times New Roman" w:cs="Times New Roman"/>
          <w:bCs/>
          <w:sz w:val="28"/>
          <w:szCs w:val="28"/>
        </w:rPr>
        <w:t>вения. Это всего лишь одна из цифр, ярко демонстрирующих то, насколько важна роль воды в жизни человека.</w:t>
      </w:r>
    </w:p>
    <w:p w:rsidR="00931946" w:rsidRDefault="00931946" w:rsidP="00931946">
      <w:pPr>
        <w:pStyle w:val="PreformattedText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left="709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Источники водоснабжения, их </w:t>
      </w:r>
      <w:r w:rsidR="00FF192E"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характеристика</w:t>
      </w: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Источники водоснабжения могут быть </w:t>
      </w: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атмосферные, подземные и поверхностные.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Атмосферные воды слабо мин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рализованы, очень мягкие, содержат мало органических веществ и свободны от патогенных бактерий.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Подземные воды, пригодны для целей питьевого водоснабжения, залегают на глубине не более 250 - 300 м. По условиям залегания различают верховодку, грунтовые и межпластовые воды, значительно отличающиеся друг от друга по гигиеническим характеристикам. 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right="-14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38900" cy="4076700"/>
            <wp:effectExtent l="19050" t="0" r="0" b="0"/>
            <wp:docPr id="2" name="Рисунок 1" descr="рис 1 Общая схема залегания подземных 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 Общая схема залегания подземных во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2688" cy="40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left="1418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1. Общая схема залегания подземных вод:</w:t>
      </w:r>
    </w:p>
    <w:p w:rsidR="00BD59E0" w:rsidRPr="00BD59E0" w:rsidRDefault="00BD59E0" w:rsidP="00BD59E0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 – верховодка; 1 – водоупорные слои; 2 – водоносный горизонт грунтовых вод; 3 – водоносный горизонт межпластовых безнапорных вод; 4 – водоносный горизонт межпластовых напорных вод (артезианских); 5 – колодец, питающийся грунтовой водой; 6 – колодец, питающийся межпластовой безнапорной водой;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7 – колодец, питающийся межпластовой напорной водой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Подземные воды, залегающие наиболее близко к земной поверхности, называются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верховодкой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Вследствие поверхностного залегания, отсутствия водоупорной кровли и малого объема верховодка легко загрязняется, как правило, в санитарном отношении она ненадежна и не может считаться хорошим источником водоснабжения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 Грунтовые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- воды первого от поверхности земли постоянно существующего водоносного горизонта. Они не имеют защиты из водоупорных слоев; область питания грунтовых вод совпадает с областью их распространения. Используются грунтовые воды главным образом в сельской местности при организации колодезного водоснабжения.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Межпластовые подземные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 залегают между водоупорными слоями и в зависимости от условий залегания могут быть напорными или безнапорными. Межпластовые воды отличаются от 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грунтовых</w:t>
      </w:r>
      <w:proofErr w:type="gram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невысокой температурой (5-12</w:t>
      </w:r>
      <w:r w:rsidRPr="0093194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постоянством состава. Обычно они прозрачны, бесцветны, лишены запаха и какого-либо привкуса. Благодаря длительной фильтрации и наличию водоупорной кровли, защищающей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межпластовые воды от загрязнения, последние отличаются почти полным отсутствием микроорганизмов, и могут использоваться для питья в сыром виде. Добываются межпластовые воды путем устройства глубоких трубчатых и, реже, шахтных колодцев.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01749F">
      <w:pPr>
        <w:pStyle w:val="PreformattedTex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772275" cy="3238500"/>
            <wp:effectExtent l="19050" t="0" r="0" b="0"/>
            <wp:docPr id="4" name="Рисунок 3" descr="photo_2022-10-17_15-2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17_15-25-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6258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2. Схема водопровода из подземного источника.</w:t>
      </w:r>
    </w:p>
    <w:p w:rsid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1 - водоисточник, артезианская скважина; 2 – насосная станция первого подъема; 3 – резервуар запасной воды; 4 – насосная станция второго подъема; 5 – трубопровод, подающий воду в населенный пункт; 6 – разводящая сеть; 7 – водонапорный резервуар.</w:t>
      </w:r>
    </w:p>
    <w:p w:rsidR="0001749F" w:rsidRPr="00931946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Родники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Подземные воды могут самостоятельно выходить на поверхность земли. В таком случае они носят название родников, из которых образуются ключи или ручейки.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Поверхностные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стекают по естественным уклонам к более пониженным местам, образуя проточные и непроточные водоемы: ручьи, реки, проточные и непроточные озера. Открытые водоемы питаются не только атмосферными, но и частично подземными водами.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Открытые водоемы подвержены загрязнению извне, поэтому с эпидемиологической точки зрения все открытые водоемы в большей или меньшей степени потенциально опасны. Особенно сильно загрязняется вода в участках водоема, лежащих у населенных пунктов и в местах спуска сточных вод.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необходимости использовать открытый водоем для водоснабжения следует, во-первых, отдать предпочтение крупным и проточным </w:t>
      </w:r>
      <w:proofErr w:type="spell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незарегулированным</w:t>
      </w:r>
      <w:proofErr w:type="spell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водоемам, во-вторых, охранять водоем от загрязнения бытовыми и промышленными сточными водами и, в-третьих, надежно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обеззараживать воду.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Т.е.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 гигиенической характеристике водоисточников разного происхождения нужно в первую очередь ориентироваться на напорные, межпластовые-артезианские воды.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При невозможности их использования изыскивают другие в следующем порядке: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End"/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а) межпластовые напорные воды, в том числе родниковые; 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 грунтовые воды; 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в) открытые водоемы.</w:t>
      </w:r>
    </w:p>
    <w:p w:rsidR="00FF192E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73756D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Зоны санитарной охраны источников водоснабжения и  водопроводов хозяйственно-питьевого водоснабжения.  Санитарно-гигиенический режим на  территории зон санитарной охраны.                  </w:t>
      </w:r>
    </w:p>
    <w:p w:rsidR="00931946" w:rsidRPr="00250966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Pr="002C26DA" w:rsidRDefault="002C26DA" w:rsidP="002C26DA">
      <w:pPr>
        <w:pStyle w:val="PreformattedText"/>
        <w:ind w:firstLine="709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2C26DA">
        <w:rPr>
          <w:rFonts w:ascii="Times New Roman" w:hAnsi="Times New Roman" w:cs="Times New Roman"/>
          <w:i/>
          <w:sz w:val="32"/>
          <w:szCs w:val="28"/>
          <w:lang w:val="ru-RU"/>
        </w:rPr>
        <w:t>Организация зон санитарной охраны источников централизованных систем питьевого водоснабжения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Зоны санитарной охраны (далее – ЗСО) организуются для источников централизованных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 питьевого водоснабжения.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каждого из </w:t>
      </w: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трех поясов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ЗСО источников централизованных систем питьевого водоснабжения, а также режим деятельности в их пределах определены законодательством в области питьевого водоснабжения, в том числе требованиями, содержащимися в настоящей главе. </w:t>
      </w:r>
    </w:p>
    <w:p w:rsidR="00502827" w:rsidRDefault="00502827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1304" cy="3838575"/>
            <wp:effectExtent l="19050" t="0" r="5196" b="0"/>
            <wp:docPr id="3" name="Рисунок 2" descr="зсо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со-схема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5027" cy="38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 Схема зон санитарной охраны источников централизованной системы питьевого водоснабжения.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подземного источника питьевого водоснабжения устанавливаются от одиночного водозабора или от крайних водозаборных сооружений группового водозабора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30 метров – при использовании защищенных подземных вод;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50 метров – при использовании недостаточно защищенных подземных вод.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Для водозаборов с использованием защищенных подземных вод, расположенных на территории объекта, исключающего возможность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загрязнения почвы и подземных вод, расстояние от водозабора до границы первого пояса ЗСО при наличии гидрогеологического обоснования допускается уменьшать по согласованию с органами, осуществляющими государственный санитарный надзор, до 15 и 25 метров соответственно. В случае, если в группе подземных водозаборов расстояние между скважинами более 30 и 50 метров для защищенных и недостаточно защищенных подземных вод соответственно, первый пояс ЗСО для скважин огораживается отдельно. Границы второго и третьего поясов ЗСО подземного водозабора определяются гидродинамическими расчетами, учитывающими время продвижения микробного и химического загрязнения до водозабора соответственно.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Первый пояс ЗСО поверхностного источника питьевого водоснабжения включает участки акватории и прилегающей береговой зоны поверхностного источника питьевого водоснабжения, в пределах которых расположены сооружения водоприемника, сеточного берегового колодца, раздельной или совмещенной насосной станции первого подъема и других сооружений.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водотока, в том числе подводящего канала, устанавливаются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200 метров от водозабора – вверх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водозабора – вниз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линии уреза воды при летне-осенней межени – по прилегающему к водозабору берегу.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направлении к противоположному берегу в границы первого пояса ЗСО водотока включаются вся акватория и противоположный берег шириной 50 метров от линии уреза воды при летне-осенней межени при ширине водотока менее 100 метров и полоса акватории шириной не менее 100 метров при ширине водотока более 100 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Границы второго пояса ЗСО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водотока устанавливаются: вверх по течению, включая притоки, – исходя из скорости течения воды, усредненной по ширине и длине водотока или для отдельных его участков, чтобы время протекания воды от границы пояса до водозабора при среднемесячном расходе воды 95 процентов обеспеченности было не менее 5 суток; вниз по течению – на расстоянии не менее 250 метров от водозабора;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при крутом склоне.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 отдельных случаях с учетом конкретной санитарной ситуации и при соответствующем обосновании боковые границы второго пояса допускается увеличивать по согласованию с органами, осуществляющими государственный санитарный надзор. При наличии в реке подпора или обратного течения расстояние нижней границы второго пояса от водозабора устанавливается в зависимости от гидрологических и метеорологических условий по согласованию с органами, осуществляющими государственный санитарный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надзор, но не менее 250 метров от водозабора.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третьего пояса ЗСО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водотока вверх и вниз по течению совпадают с границами второго пояса ЗСО, боковые границы устанавливаются по линии водоразделов в пределах 3–5 километров, включая притоки.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Границы первого пояса ЗСО водоема, в том числе подводящего канала, устанавливаются на расстоянии не менее: 100 метров от водозабора – по акватории во всех направлениях; 100 метров от линии уреза воды при летне-осенней межени – по прилегающему к водозабору берегу.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второго пояса ЗСО водоема, включая притоки, устанавливаются: по акватории во всех направлениях – на расстоянии 3 километров от водозабора при наличии нагонных ветров до 10 процентов в сторону водозабора и 5 километров при наличии нагонных ветров более 10 процентов;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водоема, но на расстоянии не менее 750 метров от линии уреза воды при летне-осенней межени при пологом склоне и не менее 1000 метров при крутом склоне.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третьего пояса ЗСО водоема должны быть во всех направлениях акватории водоема такими же, как для второго пояса. Боковые границы устанавливаются по линии водоразделов в пределах 3–5 километров.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водопроводных сооружений устанавливаются на расстоянии не менее: 30 метров – от стен запасных и регулирующих емкостей, фильтров и контактных осветлителей; 15 метров – от остальных помещений (отстойники,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реагентное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хозяйство, склад хлора, насосные станции и иное). При расположении водопроводных сооружений на территории обслуживаемого объекта, исключающего возможность загрязнения почвы и подземных вод, указанные расстояния допускается сокращать до 10 метров по результатам государственной санитарно-гигиенической экспертизы.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Ширина санитарно-защитной полосы водоводов, проходящих по незастроенной территории, устанавливается по обе стороны от крайних линий водоводов: при отсутствии грунтовых вод – не менее 10 метров при диаметре водовода до 1000 миллиметров и не менее 20 метров при диаметре водовода более 1000 миллиметров; при наличии грунтовых вод – не менее 50 метров вне зависимости от диаметра водоводов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каждом из трех поясов ЗСО источников централизованных систем питьевого водоснабжения, в том числе в пределах санитарно-защитной полосы водоводов, в соответствии с их назначением устанавливается особый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санитарнопротивоэпидемиологический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режим, а также определяется комплекс мероприятий по предупреждению ухудшения качества воды. </w:t>
      </w:r>
    </w:p>
    <w:p w:rsidR="002C26DA" w:rsidRDefault="002C26DA" w:rsidP="000174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Проект ЗСО источников централизованных систем питьевого водоснабжения подлежит государственной санитарно-гигиенической экспертизе в порядке, установленном законодательством. </w:t>
      </w:r>
    </w:p>
    <w:p w:rsidR="00FF192E" w:rsidRDefault="002C26DA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границы ЗСО источников 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питьевого водоснабжения корректируются при изменении параметров, используемых при их расчете. Скорректированные границы ЗСО ист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t xml:space="preserve">очников 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>питьевого водоснабжения определяются в порядке, установленном законодательством, в том числе настоящими специфическими санитарно-эпидемиологическими требованиями, для определения первоначальных границ ЗСО.</w:t>
      </w:r>
    </w:p>
    <w:p w:rsid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Default="0073756D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5C8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5. </w:t>
      </w:r>
      <w:r w:rsidR="005B5C86" w:rsidRPr="005B5C86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</w:t>
      </w:r>
    </w:p>
    <w:p w:rsidR="00995305" w:rsidRPr="000649E8" w:rsidRDefault="00995305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7409" w:rsidRPr="00B47409" w:rsidRDefault="00B47409" w:rsidP="00995305">
      <w:pPr>
        <w:suppressAutoHyphens w:val="0"/>
        <w:autoSpaceDE w:val="0"/>
        <w:autoSpaceDN w:val="0"/>
        <w:spacing w:before="2" w:line="232" w:lineRule="auto"/>
        <w:ind w:left="232" w:right="-9"/>
        <w:rPr>
          <w:rFonts w:ascii="Times New Roman" w:eastAsia="Times New Roman" w:hAnsi="Times New Roman" w:cs="Times New Roman"/>
          <w:b/>
          <w:szCs w:val="22"/>
          <w:lang w:val="ru-RU" w:eastAsia="en-US"/>
        </w:rPr>
      </w:pP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ТРЕБОВАНИЯ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К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СОДЕРЖАНИЮ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И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ЭКСПЛУАТАЦИИ</w:t>
      </w:r>
      <w:r w:rsidRPr="00B47409">
        <w:rPr>
          <w:rFonts w:ascii="Times New Roman" w:eastAsia="Times New Roman" w:hAnsi="Times New Roman" w:cs="Times New Roman"/>
          <w:b/>
          <w:spacing w:val="-8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ЦЕНТРАЛИЗОВАННЫХ СИСТЕМ ПИТЬЕВОГО ВОДОСНАБЖЕНИЯ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Помещения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территории водопроводных сооружений централизованных систем питьевого водоснабжения (далее 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 настоящей главы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системы питьевого водоснабжения) должны содержаться в чистоте.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Оборудование водозаборных сооружений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насосных станций должно быть окрашено, содержаться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чистоте. Места соединения труб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врезки арм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туры должны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быть герметичными (водонепроницаемыми).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Устройство тупиковых участков водопроводных сетей допускается при диаметре трубопроводов не более 100 миллиметров и их протяженности не 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лее 100 метров.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субъекты хозяйствования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физические лица, осуществляющие хозяйственную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иную деятельность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границах соответств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ющих поясов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обеспечивают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соблюдение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установленных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Законом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публики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Беларусь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питьевом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водоснабжении»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режимов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хозяйственной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деятельности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 водоснабжения, водопроводных сооружений, санитарно-защитных полосах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 водозаборных скважин должны обеспечивать защиту подзе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ных источников водоснабжения от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засорения, атмосферных осадков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грунт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 вод, содержаться в чистоте и быть не подтопленными 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процессе эксплуатации водозаборной скважины конструкция оголовка должна исключать возможность загрязнения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 подземных вод через межтрубное пространство. Для контроля безопасности добываемой воды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ближайшем прилегающем к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оголовку водозаборной скважины участке труб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провода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пробоотборный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кран. От крана должен быть обеспечен отвод воды.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скважин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закрываются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замок.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эксплуатации источников водоснабжения, вода которых 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ствует нормативам безопасности питьевой воды, должна проводиться подг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товка питьевой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Вода поверхностных источников водоснабжения подлежит обязательному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обеззараживанию.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Решение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необходимости обеззараживания воды подземных источников водоснабжения принимается организацией ВКХ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каждом конкретном случае, в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том числе с учетом сложившейся санитарно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-эпидемиологической обстановки: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угрозе возникновения или возникновении чрезвычайных ситуаций, п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влекших загрязнение, засо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рение источников водоснабжения;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</w:t>
      </w:r>
      <w:r w:rsidRPr="00995305">
        <w:rPr>
          <w:rFonts w:ascii="Times New Roman" w:eastAsia="Times New Roman" w:hAnsi="Times New Roman" w:cs="Times New Roman"/>
          <w:spacing w:val="6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ствии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нормативу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тели безопасности питьевой 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микробиологическим показателям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бе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lastRenderedPageBreak/>
        <w:t>опасности.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принятом решении об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обеззараживании воды подземных источников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Обеззараживание питьевой воды допускается проводить путем ее хлорир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вания, озонирования, ультрафиолетового облучения, а также другими методами ее подготовки.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Технологический процесс подготовки питьевой воды должен обеспечивать приведение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гигиеническим нормативом «Показатели бе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опасности питьевой воды» перед подачей в водопроводные сети системы пит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ь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евого водоснабжения.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подготовки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станциях подготовки питьевой воды устанавливаются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Конструкции резервуаров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хранения питьевой воды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их эк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плуатации должны исключать попадание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них атмосферных осадков, грунт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 вод, посторонних предметов.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хранения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резервуарах,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донапорных башнях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ы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ходном трубопроводе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резервуаров либо проводить отбор проб путем погр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жения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резервуар специальных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пробоотборных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емкостей (батометров).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Соединение трубопроводов систем питьевого водоснабжения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системами технического водоснабжения и иного назначения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Подпитка систем технического водоснабжения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иных трубопроводов ра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личного назначения,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транспортировки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водой из систем питьевого водоснабжения без воздушного ра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рыва струи не допускается.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Водоразборные колонки должны быть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 исправном состоянии. При эксплуатации вокруг водоразборных колонок должны быть отмостка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доотводящий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лоток.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подлежат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либо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последующей дезинфекцией (далее, если не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определено иное,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промывка, дезинфекция)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учетом требований настоящих специфических сан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тарно-эпидемиологических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требований.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водопроводных сетей и сооружений проводятся в случаях: окончания строительно-монтажных работ перед приемкой в эксплу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тацию; длительного</w:t>
      </w:r>
      <w:r w:rsidRPr="00995305">
        <w:rPr>
          <w:rFonts w:ascii="Times New Roman" w:eastAsia="Times New Roman" w:hAnsi="Times New Roman" w:cs="Times New Roman"/>
          <w:spacing w:val="61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(48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более)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</w:t>
      </w:r>
      <w:r w:rsidRPr="00995305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систему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3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эксплуатации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станций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готовки</w:t>
      </w:r>
      <w:r w:rsidRPr="00995305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 воды, резервуаров, водонапорных башен;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 эксплуатации участков водопроводных сетей на 10 суток и более; нарушения</w:t>
      </w:r>
      <w:r w:rsidRPr="00995305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функционирования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повреждения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56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водоснабжения,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повлекших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несоответствие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 питьевой воды» по микробиологическим 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завершения ремонтных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на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водоснабжения, которые сопровождались нарушением целостности трубопроводов, заменой оборудования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устройств, имеющих непосредстве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ный контакт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питьевой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дезинфекция резервуаров чистой воды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водонапорных башен проводятся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два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года.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Периоди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ность проведения плановой промывки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дезинфекции иных водопрово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ных сооружений определяется технологическими регламентами (инструкци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ми) эксплуатации водопроводных сооружений.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проводится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раза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три года. Промывка внутренних водопроводных сетей проводится после промывки наружных водопроводных сетей.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Плановая промывка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ний проводятся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предварительным извещением территориальных органов (учреждений), осуществляющих государственный санитарный надзор.</w:t>
      </w:r>
    </w:p>
    <w:p w:rsidR="00B47409" w:rsidRPr="00995305" w:rsidRDefault="00B47409" w:rsidP="00995305">
      <w:pPr>
        <w:tabs>
          <w:tab w:val="left" w:pos="1064"/>
          <w:tab w:val="left" w:pos="2138"/>
          <w:tab w:val="left" w:pos="3530"/>
          <w:tab w:val="left" w:pos="4414"/>
          <w:tab w:val="left" w:pos="5734"/>
          <w:tab w:val="left" w:pos="6986"/>
          <w:tab w:val="left" w:pos="8457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водозаборных скважин осуществляются в случ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ях: окончания строительно-монтажных работ перед приемкой в эксплуатацию;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ремонтных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работ,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связанных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  <w:t>с заменой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погружного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насосно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го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оборудования;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чрезвычайных ситуаций, повлекших загрязнение, засорение источников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затопления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павильонов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скважин.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длительной (10 суток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более) остановке работы водозаборной скв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жины осуществляется ее прокачка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последующим проведением лабораторных исследований (испытаний)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водоводов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осуществляется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утвержденными организациями ВКХ технологическими регламентами (инструкциями) эксплуатации технических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Порядок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определяется технологическими регламентами (инструкц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ями) 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эксплуатации.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считаются законченными после получения результатов лабораторных исследований (испытаний)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 воды г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микробиологическим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органолептическим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показателям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содержании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остаточного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дезинфектантов</w:t>
      </w:r>
      <w:proofErr w:type="spell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(при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использовании)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неорганических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веществ,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которым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выявлены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перед проведением промывки и (или) дезинфекции.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Результаты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сооружений оформляются актом по форме согласно приложению 2.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Акт действителен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 10 суток с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даты отбора проб воды 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дения лабораторных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исследований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(испытаний).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Если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указанный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срок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проводные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введены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эксплуатацию,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требуется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дение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повторной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 и (или) дезинфекции и лабораторных исследов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ний (испытаний).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возникновении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ситуаций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 водоснабжения, их ликвидации организации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ВКХ незамедлительно (в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часа 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телефону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бумажном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носителе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виде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электронного документа) информируют территориальные органы (учреждения), осуществляющие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 обеспечивают учет аварий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мер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ликв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дации,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отключений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переключений оборудования, связанных 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прекращением или ограничением питьевого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Используемые при осуществлении доставки питьевой воды цистерны или другие емкости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обеспечения питьевой водой субъектов хозяйствования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физических лиц должны быть изготовлены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 специально предн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значенных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 целей, закрываться крышками, снабженными уплотнител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ь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ными прокладками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резины или полимерных материалов,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быть герм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тичными. Применение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качестве уплотнительных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прокладок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целей,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Питьевая вода, доставляемая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цистернах или других емкостях, должна 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ответствовать гигиеническому нормативу «Показатели безопасности питьевой воды».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 ликвидации аварий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 водоснабжения организации ВКХ проводят лабораторные исследования (и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пытания) питьевой воды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целях оценки ее соответствия гигиеническому но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мативу «Показатели безопасности питьевой воды».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 сети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 могут быть запущены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после ремонтных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до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тов лабораторных исследований (испытаний) питьевой воды, за исключением случаев: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нарушения функционирования, повреждения систем питьевого водосна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жения, повлекших несоответствие питьевой воды гигиеническому нормативу «Показатели безопасности питьевой воды» по микробиологическим 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ограничения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субъектам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ствования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физическим лицам решениями местных исполнительных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расп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рядительных органов базового территориального уровня.</w:t>
      </w:r>
    </w:p>
    <w:p w:rsidR="00B47409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случае запуска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до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 организации ВКХ обязаны информировать потребителей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абонентов 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можном несоответствии питьевой воды гигиеническому нормативу «Показат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 безопасности питьевой воды»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дать рекомендации и (или) ограничения по ее использованию.</w:t>
      </w:r>
    </w:p>
    <w:p w:rsidR="00995305" w:rsidRDefault="00995305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83AD2" w:rsidRPr="00995305" w:rsidRDefault="00F83AD2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bookmarkStart w:id="0" w:name="_GoBack"/>
      <w:bookmarkEnd w:id="0"/>
    </w:p>
    <w:p w:rsidR="00931946" w:rsidRPr="005B5C86" w:rsidRDefault="0073756D" w:rsidP="00995305">
      <w:pPr>
        <w:pStyle w:val="PreformattedTex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931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946"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медицинские осмотры работающих.</w:t>
      </w:r>
    </w:p>
    <w:p w:rsidR="00931946" w:rsidRPr="00210F76" w:rsidRDefault="00931946" w:rsidP="0001749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Гигиеническое обучение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27C">
        <w:rPr>
          <w:rFonts w:ascii="Times New Roman" w:hAnsi="Times New Roman" w:cs="Times New Roman"/>
          <w:sz w:val="28"/>
          <w:szCs w:val="28"/>
          <w:lang w:val="ru-RU"/>
        </w:rPr>
        <w:t>Лица, участвующие в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Проведение обязательных медицинских осмотров регламентируется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Инструкцией о порядке проведения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работающих,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твержденной постановлением Министерства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29.07.2019 № 74 (далее - Инструкция).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Лица, не прошедшие обязательный медицинский осмотр или признанные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непригодными по состоянию здоровья к работам и контакту с вредными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факторами не допускаются. Руководители предприятий обязаны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условия для своевременного прохождения работниками медосмотров и несут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ответственность за допуск к работе лиц, не прошедших медосмотр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признанных непригодными по состоянию здоровья к определенным видам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Медицинские осмотры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лиц, поступающих на работу и периодические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осмотры работающих проводятся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медицинскими комиссиями, созданными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организациях здравоохранения и организациях, указанных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приложении 4 к Инструкции.</w:t>
      </w:r>
    </w:p>
    <w:p w:rsidR="00931946" w:rsidRPr="00210F7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Медицинские осмотры подразделяются на: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предварительные при поступлении на работу;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в процессе трудовой деятельности;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Предварительный медосмотр лиц, поступающих на работу</w:t>
      </w:r>
      <w:r w:rsidRPr="00E643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осуществляется по направлению работодателя, в котором указываются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производство, профессия, вредные и (или) опасные факторы производственной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с указанием класса условий труда по каждому фактору, класса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химических веществ и (или) вид выполняемых работ. По результатам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предварительных медосмотров работающих выдается медицинская справка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 здоровья, подтверждающая годность (негодность) работающего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Периодические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Для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работодатель ежегодно составляет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работников. Периодические медосмотры работников,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включенных в список профессий (должностей), физических лиц, работающих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гражданско-правовым договорам, и иных физических лиц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 проводятся на основании направления.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составляется в двух экземплярах с указанием результатов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труда по каждому вредному и (или) опасному производственному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фактору, один из которых остается у нанимателя, второй — до 1 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календарного года направляется в организацию, проводящую медосмотр,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которая на основании данного списка составляет и направляет нанимателю непозднее 1 февраля календарного года график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работников.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аниматель на основании списка профессий (должностей) и графика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проведения периодических медосмотров составляет список работников и за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до начала периодического медосмотра направляет в организацию,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проводящую медосмотр.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медосмотры работающих проводятся с 1 января по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декабря календарного года.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 с подозрением на хроническое профессиональное заболевание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должны быть направлены к врачу-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профпатологу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периодических медосмотров работающих в течение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со дня окончания периодических медосмотров организация,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проводящая медосмотр, составляет акт в двух экземплярах, один из которых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течение пяти рабочих дней направляется нанимателю и (или) работодателю,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второй — остается в организации.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Внеочередные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Проведение внеочередных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существляется в случае ухудшения состояния здоровья 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инициативе нанимателя и (или) работодателя, государственных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здравоохранения и иных организаций здравоохранения,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оказание медицинской помощи, и работающего.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внеочередных медосмотров работающим выдается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медицинская справка о состоянии здоровья, подтверждающая годность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(негодность)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случае если при проведении обязательного периодического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внеочередного медосмотра работающих выявлены заболевания (состояния),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являются медицинскими противопоказаниями к работам, медицинская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комиссия в течение пяти рабочих дней со дня выявления данного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(состояния) информирует нанимателя (работодателя) об установления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негодности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 качественное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роведение медицинских осмотров </w:t>
      </w:r>
      <w:r w:rsidRPr="004302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эффективная мера профилактики профессиональных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предупреждения и снижения заболеваемости с временной утратой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трудоспособности, а также одно из средств, позволяющее снизить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экономические потери (недополученную прибыль).</w:t>
      </w:r>
    </w:p>
    <w:p w:rsidR="00B47409" w:rsidRDefault="00931946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Гигиеническое обучение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92E" w:rsidRP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Работники, деятельность которых связана с производством, хранением,</w:t>
      </w:r>
    </w:p>
    <w:p w:rsidR="00B47409" w:rsidRDefault="00B47409" w:rsidP="00B4740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транспортировкой и реализацией питьевой воды, в том числе с обслуживанием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источников и систем питьевого водоснабжения, перед допуском к работе, при повышении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квалификации и переподготовке проходят гигиеническое обучение.</w:t>
      </w:r>
    </w:p>
    <w:p w:rsidR="0073756D" w:rsidRDefault="00B47409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Производственный контроль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2827" w:rsidRPr="00502827">
        <w:rPr>
          <w:rFonts w:ascii="Times New Roman" w:hAnsi="Times New Roman" w:cs="Times New Roman"/>
          <w:b/>
          <w:sz w:val="30"/>
          <w:szCs w:val="30"/>
          <w:lang w:val="ru-RU"/>
        </w:rPr>
        <w:t>Обязательные медицинские осмотры. Гигиеническое обучение. Правила личной гигиены.</w:t>
      </w:r>
    </w:p>
    <w:p w:rsidR="00502827" w:rsidRPr="000649E8" w:rsidRDefault="00502827" w:rsidP="00502827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E6433B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 включает:</w:t>
      </w:r>
    </w:p>
    <w:p w:rsidR="00931946" w:rsidRPr="000649E8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осуществление (организацию) лабораторных (технологических)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исследований и испытаний на границе санитарно-защитной зоны и в зоне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влияния предприятия, на территории (производственной площадке), на рабочих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местах с целью оценки влияния производства на среду обитания человека 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здоровье;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хранения,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применяемых средств при оказании бытовых услуг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технологического оборудования, производственного инвентаря, тары;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санитарной обработки на этапах 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E350C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50C">
        <w:rPr>
          <w:rFonts w:ascii="Times New Roman" w:hAnsi="Times New Roman" w:cs="Times New Roman"/>
          <w:sz w:val="28"/>
          <w:szCs w:val="28"/>
          <w:lang w:val="ru-RU"/>
        </w:rPr>
        <w:t>организацию медицинских осмотров, профилактических прививок, профессиональной гигиенической подготовки и аттестации должностных лиц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50C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организаций; 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за наличием документов, подтверждающих качество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безопасность сырья, полуфабрикатов, готовой продукции и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производства, хранения, транспортировки,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273853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lang w:val="ru-RU"/>
        </w:rPr>
        <w:t>обоснование безопасности для здоровья и жизни человека, среды обитания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новых видов продукции и технологии ее производства, критериев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и (или) безвредности факторов производственной и окружающей среды,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разработку  методов контроля, в том числе при хранении, транспортировке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утилизации продукции, отходов и выбросов производства,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безопасности процесса выполнения работ, оказания услуг;</w:t>
      </w:r>
    </w:p>
    <w:p w:rsidR="00931946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ведение учета и отчетности, установленной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законодательством, по вопросам осуществления производственного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местных исполнительных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распорядительных органов, органов и учреждений,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государственный санитарный надзор, населения, об аварийных ситуациях,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остановках производства, о нарушениях технологических процессов,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результатах лабораторного исследования продукции (товара) несоответствующих гигиеническим требованиям и иных обстоятельствах,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создающих угрозу санитарно-эпидем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ическому благополучию населения;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специально уполномоченными должностными лицами(работниками) предприятия (организации), 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контроль, выполнения санитарно-противоэпидемических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профилактических мероприятий, соблюдения санитарных правил, разработки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реализации мер, направленных на устранение выявленных нарушений.</w:t>
      </w:r>
    </w:p>
    <w:p w:rsidR="00B47409" w:rsidRPr="000649E8" w:rsidRDefault="00931946" w:rsidP="00B4740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Программа (план) производственного контроля составляется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юридическим лицом, индивидуальным предпринимателем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осуществления деятельности. Необходимые изменения, дополнения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программу (план) производственного контроля вносятся при изменении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деятельности, технологии производства, нормативной базы и любых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случаях, оказывающих влияние на процесс выпуска продукции.</w:t>
      </w:r>
    </w:p>
    <w:p w:rsidR="0073756D" w:rsidRPr="00390399" w:rsidRDefault="00931946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</w:t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Здоровый образ жизни. Принципы здорового образа жизни,</w:t>
      </w:r>
    </w:p>
    <w:p w:rsidR="0073756D" w:rsidRPr="00390399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пути формирования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 — это состояние полного физического, психического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социального благополучия, а не только отсутствие болезней или 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дефектов (Устав ВОЗ, 1948).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Здоровый образ жизни — это комплекс общегигиенических, морально-этических и оздоровительных мероприятий, способствующих сохранению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укреплению здоровья, повышению работоспособности и активного долголетия.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Основными компонентами здорового образа жизни являются: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Рациональное, сбалансированное, регулярное 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Правильное питание - это такой способ питания, при котором итогом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этого процесса является укрепление и улучшение здоровья, физических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духовных сил человека, предупреждение и лечение различных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замедление процессов старения, т.е. правильное питание - это здоровое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Пища, которую человек потребл</w:t>
      </w:r>
      <w:r>
        <w:rPr>
          <w:rFonts w:ascii="Times New Roman" w:hAnsi="Times New Roman" w:cs="Times New Roman"/>
          <w:sz w:val="28"/>
          <w:szCs w:val="28"/>
          <w:lang w:val="ru-RU"/>
        </w:rPr>
        <w:t>яет, должна соответствовать сле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дующим основным требованиям: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она должна быть разнообразной, а ее калорийность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эн</w:t>
      </w:r>
      <w:r w:rsidR="00B47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ргозатраты организма;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содержащиеся в продуктах белки, жиры, углеводы должны находится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правильных соотношениях 1:1,2:4;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пище должно быть достаточ</w:t>
      </w:r>
      <w:r>
        <w:rPr>
          <w:rFonts w:ascii="Times New Roman" w:hAnsi="Times New Roman" w:cs="Times New Roman"/>
          <w:sz w:val="28"/>
          <w:szCs w:val="28"/>
          <w:lang w:val="ru-RU"/>
        </w:rPr>
        <w:t>ное количество витаминов и мине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ральных солей, желательно при этом, чтобы в рационе присутствовали все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наиболее важные представители, т.к. зачастую они оказываются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взаимозависимыми.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Одна из наиболее актуальных проблем в профилактике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болезней - упорядочение питания. Серьезную озабоченность медиков в наше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время вызывает систематическое переедание. Многие люди имеют лишний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вес и страдают ожирением. Помните, что это, прежде всего, отрицательно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сказывается на деятельности сердечно-сосудистой системы.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Белки или протеины являются основным строительным материалом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организма. Белки состоят из аминокислот. Аминокислоты,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синтезирующиеся в организме, называются нез</w:t>
      </w:r>
      <w:r>
        <w:rPr>
          <w:rFonts w:ascii="Times New Roman" w:hAnsi="Times New Roman" w:cs="Times New Roman"/>
          <w:sz w:val="28"/>
          <w:szCs w:val="28"/>
          <w:lang w:val="ru-RU"/>
        </w:rPr>
        <w:t>аменимыми. Белки, содер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жащие весь набор незаменимых аминокислот, являются биологически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полноценными. Они содержатся в животной пище и в некоторых пищевых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растениях - в сое, горохе, фасоли.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Дефицит белка уменьшает устойчивость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 к инфекциям, т.к. снижается уровень образования защитных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антител, которые являются белками. Недостаток белка приводит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нарушениям функций всех органов и систем организма. Однако и избыток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белка в пище также неблагоприятно влияет на организм, так как при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возрастает нагрузка на такие жизненно важные органы, как печень, почки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кишечник, что также приводит к возникновению различных заболеваний.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Жиры (липиды) являются поставщиком энергии и пластическим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материалом, так как входят в состав клеточных компонентов,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клеточных мембран (оболочек). При недостатке жиров нарушается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деятельность мозга, ослабевает иммунитет. В то же время избыточное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потребление жиров, особенно животного происхождения, способствуют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развитию атеросклероза и ожирения, что приводит к инфарктам,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кровоизлияниям и является основной причиной смерти человека.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Углеводы или сахара являются основным поставщиком энергии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организма. Недостаток углеводов приводит к резкому сокращению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поступления энергии в организм, поэтому в рационе они должны составлять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50% от всех потребляемых веществ. Однако избыток углеводов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приводить к развитию некоторых заболеваний, например, сахарного диабета.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Витамины также относятся к биологически активным веществам. 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 являются источником энергии, а участвуют в обмене веществ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компоненты ферментативных реакций. Известно 13 витаминов.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недостатке витаминов возникают состояния, называемые гиповитаминозами.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Минеральные вещества делятся на макро- и микроэлементы.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макроэлементам относят кальций, фосфор, магний, натрий, хлор, серу.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микроэлементам - железо, йод, селен, цинк, медь и др.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знать, что витамины и минеральные вещества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поступать в организм в определенных количествах, так как и дефицит,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избыток их могут приводить к заболеваниям. Рациональное питание как раз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обеспечивает такое их поступление, которое обеспечивает нормальное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функционирование организма человека.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Так как ни один продукт не в состоянии обеспечить организм всеми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питательными веществами, основным принципом рационального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считать разнообразие пищи. Это достигается употреблением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пищевых продуктов из 5 основных групп: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зерновые продукты и картофель;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овощи и фрукты;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молоко и молочные продукты;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мясо и альтернативные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продукты;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продукты, содержащие сахар и жиры.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Основу здорового питания должны составлять продукты 1-ой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обеспечивают организм в первую очередь энергетическим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 - углеводами, а также рядом витаминов и микроэлементов.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Необходимо, чтобы продукты из каждой группы присутствовали ежедневно.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заботиться о разумном разнообразии своего питания, есть побольше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овощей и фруктов, продуктов из муки грубого помола, крупы, поменьше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жира и сладостей. Употребление продуктов 5-ой группы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ограничивать.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Важно соблюдать правильный режим питания Правильный режим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питания обеспечивает эффективность работы пищеварительной системы,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нормальное усвоение пищи и течение обмена веществ, хорошее самочувствие.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здоровых людей рекомендовано 3-4-разовое питание с 4-5-часовыми промежутками. Между небольшими приемами пищи интервалы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могут составлять 2-Зчаса. Принимать пищу ранее, чем через 2 часа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предыдущей еды, нецелесообразно. Еда в промежутках между основными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приемами пищи «перебивает» аппетит и нарушает ритмичную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органов пищеварения.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быстрой еде пища плохо пережевывается и измельчается,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недостаточно обрабатывается слюной. Это ведет к излишней нагрузке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желудок, ухудшению переваривания и усвоения пищи. При торопливой 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медленнее наступает чувство насыщения, что способствует перееданию.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Последний прием пищи следует осуществлять не позже, чем за 1% - 2</w:t>
      </w:r>
      <w:r w:rsidR="002B5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часа до сна. Он должен составлять 5-10% суточной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энергоценности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рациона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включать такие продукты, как молоко, кисломолочные напитки, фрукты, соки,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хлебобулочные изделия.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Оптимальный двигательный режим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 учетом возрастных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физиологических особенностей.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Систематическая двигательная активность, занятия физической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культурой оказывают на организм человека положительное воздействие.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Заниматься физкультурой могут практически все, независимо от возраста.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Лишь немногим, всего 1-2 % населения, не рекомендуются физические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нагрузки.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 влиянием систематической двигательной активности в организме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человека происходят следующие положительные изменения: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нормализация массы тела, артериального давления и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холестерина крови;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снижение риска развития ишемической болезни сердца на 60%,инсулинозависимого сахарного диабета на 50 %, артериальной гипертонии,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тромбоза и онкологических заболеваний на 70 %;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сохранение костной массы и, таким образом, защита от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остеопороза, особенно у пожилых людей;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улучшение координации движений, силы и выносливости,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ловкости.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Отказ от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саморазрушающего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поведения.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Еще одной составляющей здорового образа жизни является искоренение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вредных привычек (курение, алкоголь, наркотики). Эти нарушители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являются причиной многих заболеваний, резко сокращают продолжительность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жизни, снижают работоспособность, пагубн</w:t>
      </w:r>
      <w:r>
        <w:rPr>
          <w:rFonts w:ascii="Times New Roman" w:hAnsi="Times New Roman" w:cs="Times New Roman"/>
          <w:sz w:val="28"/>
          <w:szCs w:val="28"/>
          <w:lang w:val="ru-RU"/>
        </w:rPr>
        <w:t>о отражаются на здоровье подрас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тающего поколения и на здоровье будущих детей.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Табак - это самый распространенный популярный и доступный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растительный наркотик в мире, имеющий в своем химическом составе один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самых ядовитых алк</w:t>
      </w:r>
      <w:r w:rsidR="002159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лоидов - никотин.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Одним никотином опасность табачного дыма не исчерпывается. Кроме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никотина, он содержит угарный газ, синильную кислоту, сероводород, аммиаки концентрат из жидких и твердых продуктов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горения и сухой перегонки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табака, называемый табачным дегтем. И весь этот «букет» ядов поглощается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курящим человеком.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 настоящему времени накопилось немало фактов, свидетельствующих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 тесной связи между увеличением числа курильщиков и ростом частоты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сердечно-сосудистых и онкологических заболеваний. Кроме этого,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страдают органы дыхания, пищеварения, мочеполовой системы, кожа.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На первом месте среди болезней, связанных с курением, находятся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злокачественные новообразования. В частности, убедительно доказана связь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 12 формами рака у человека (рак легкого, пищевода, полости рта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Общепризнанно, что риск возникновения заболеваний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напрямую от количества выкуриваемых в день сигарет, возраста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курения, «стажа» курения.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женщины более чувствителен к воздействию табачного дыма.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Непоправимый вред наносится будущему ребенку, если курит беременная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женщина. Курение приводит к обострению многих заболеваний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беременности.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последнее время появилось много фактов о вреде пассивного,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принудительного курения (вдыхание воздуха с табачным дымом людьми,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окружающими курильщика). Пассивные курильщики страдают теми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заболеваниями, что и курящие. Особенно страдают от пассивного курения дети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семьях курильщика. Они чаще болеют бронхитами, пневмониями и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респираторными заболеваниями.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Алкоголь - вещество, которое содержится в спиртных напитках,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химическому составу относится к наркотическим веществам и 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токсическое действие на организм.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злоупотреблении алкоголем происходят нарушения соматических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функций. Страдают печень, желудок, поджелудочная железа, почки, сердечно-сосудистая, дыхательная, нервная системы. Особенно сильное токсическое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действие алкоголь оказывает на клетки головного мозга. Известно,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головной мозг, составляющий всего 2 % массы человеческого тела, удерживает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30 % выпитого алкоголя. При систематическом злоупотреблении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алкоголем формируется зависимость от алкоголя.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 более подвержен влиянию алкоголя, т.к.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воды в женском организме на 10 % меньше, чем в мужском.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употреблении одинаковой дозы алкоголя у мужчин концентрация алкоголя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крови (на 1 кг массы) меньше, чем у женщин. Из чего следует,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токсический эффект алкоголя у женщин сильнее.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режима труда и отдыха.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Строгий, ритмичный режим труда и отдыха - одно из важнейших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высокой работоспособности. При его соблюдении вырабатывается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определенный биологический ритм функционирования организма, т.е.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вырабатывается динамический стереотип в виде системы чередующихся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условных рефлексов. Закрепляясь, они облегчают организму выполнение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работы, поскольку создают условия и возможности внутренней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физиологической подготовки к предстоящей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ритмы организма не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самостоятельными, а связаны с колебаниями внешней среды (день и ночь,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сезон года и т.д.).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правил личной и общественной гигиены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- это правила, которые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соблюдать люди при уходе за своим телом и при общении друг с другом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 (в школе), в общественных местах.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включает в себя выполнение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гигиенических правил, требований и норм, направленных на сохранение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здоровья, работоспособности, долголетие, профилактику инфекционных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неинфекционных заболеваний, отказ от вредных привычек, разрушающих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здоровье. Личную гигиену необходимо соблюдать всегда и везде: в быту,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производстве, на отдыхе.</w:t>
      </w:r>
    </w:p>
    <w:p w:rsidR="0073756D" w:rsidRPr="00273853" w:rsidRDefault="0073756D" w:rsidP="00C83523">
      <w:pPr>
        <w:pStyle w:val="PreformattedTex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Соблюдение правил психогигиены и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психопрофилактики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Ставшее в последнее время столь модным слово «стресс» пришло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нам из английского языка и в переводе означает «нажим, давление,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напряжение». В стрессовых ситуациях мы не всегда можем адаптироваться.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- это нестандартная реакция организма на ситуацию (как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положительную, так и отрицательную), но не сама ситуация.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Симптомы стресса: беспокойный сон, отсутствие терпения,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и конфликтность; развитие проблем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пустяка; частые головные боли и боли в области шеи и позвоночника,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колебания артериального давления, длительная непонятная усталость,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обостренная обидчивость, забывчивость, душевная пустота, восприятие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в мрачном свете.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может приводить к таким заболеваниям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гипертоническая болезнь, язвенная болезнь двенадцатиперстной кишки,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астма, различные формы невроза и т.д.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Врачи давно уже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обратили внимание на то, что люди, часто находящиеся в стрессовом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состоянии, в гораздо большей степени подвержены инфекционным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 - например, гриппу. Оказывается, стресс «атакует» иммунную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систему организма, повышая ее восприимчивость к инфекции.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не всегда бывает губительным для здоровья. В ряде случаев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стимулирует активность и творчество человека, помогает поверить в свои 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способности.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756D" w:rsidRPr="000649E8" w:rsidSect="00B47409">
      <w:headerReference w:type="default" r:id="rId11"/>
      <w:pgSz w:w="12240" w:h="15840"/>
      <w:pgMar w:top="1134" w:right="900" w:bottom="426" w:left="1701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45" w:rsidRDefault="00E35945" w:rsidP="00414117">
      <w:pPr>
        <w:pStyle w:val="Index"/>
      </w:pPr>
      <w:r>
        <w:separator/>
      </w:r>
    </w:p>
  </w:endnote>
  <w:endnote w:type="continuationSeparator" w:id="0">
    <w:p w:rsidR="00E35945" w:rsidRDefault="00E35945" w:rsidP="00414117">
      <w:pPr>
        <w:pStyle w:val="Index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45" w:rsidRDefault="00E35945" w:rsidP="00414117">
      <w:pPr>
        <w:pStyle w:val="Index"/>
      </w:pPr>
      <w:r>
        <w:separator/>
      </w:r>
    </w:p>
  </w:footnote>
  <w:footnote w:type="continuationSeparator" w:id="0">
    <w:p w:rsidR="00E35945" w:rsidRDefault="00E35945" w:rsidP="00414117">
      <w:pPr>
        <w:pStyle w:val="Index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09" w:rsidRDefault="00B47409" w:rsidP="0041411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AD2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F86"/>
    <w:multiLevelType w:val="hybridMultilevel"/>
    <w:tmpl w:val="B51CA1E0"/>
    <w:lvl w:ilvl="0" w:tplc="83D2A524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048A548C"/>
    <w:multiLevelType w:val="hybridMultilevel"/>
    <w:tmpl w:val="E8DAA938"/>
    <w:lvl w:ilvl="0" w:tplc="96DA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A314F"/>
    <w:multiLevelType w:val="hybridMultilevel"/>
    <w:tmpl w:val="BDA266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105D03BD"/>
    <w:multiLevelType w:val="multilevel"/>
    <w:tmpl w:val="2F8EE5B0"/>
    <w:name w:val="Нумерованный список 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5DC6"/>
    <w:multiLevelType w:val="multilevel"/>
    <w:tmpl w:val="961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13918"/>
    <w:multiLevelType w:val="hybridMultilevel"/>
    <w:tmpl w:val="CEC60F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3AC6CC3"/>
    <w:multiLevelType w:val="hybridMultilevel"/>
    <w:tmpl w:val="5CFA5FC8"/>
    <w:lvl w:ilvl="0" w:tplc="F7D8D67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263049"/>
    <w:multiLevelType w:val="hybridMultilevel"/>
    <w:tmpl w:val="847C0F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1DC32AC"/>
    <w:multiLevelType w:val="hybridMultilevel"/>
    <w:tmpl w:val="60A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E649E"/>
    <w:multiLevelType w:val="hybridMultilevel"/>
    <w:tmpl w:val="87E4A46A"/>
    <w:lvl w:ilvl="0" w:tplc="F3D6F3AC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E0080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898082C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9DEA894C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CD76C46E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6A440C1E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2FBEE286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E88614F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9F62F4F8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11">
    <w:nsid w:val="57243DF4"/>
    <w:multiLevelType w:val="multilevel"/>
    <w:tmpl w:val="F03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E2BC1"/>
    <w:multiLevelType w:val="hybridMultilevel"/>
    <w:tmpl w:val="E37CC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AC0EFC"/>
    <w:multiLevelType w:val="hybridMultilevel"/>
    <w:tmpl w:val="EB7472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06476FA"/>
    <w:multiLevelType w:val="hybridMultilevel"/>
    <w:tmpl w:val="E9E80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C286C53"/>
    <w:multiLevelType w:val="multilevel"/>
    <w:tmpl w:val="ECE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5"/>
    <w:rsid w:val="0001749F"/>
    <w:rsid w:val="00044AFF"/>
    <w:rsid w:val="000649E8"/>
    <w:rsid w:val="00086ADB"/>
    <w:rsid w:val="000923EE"/>
    <w:rsid w:val="000E350C"/>
    <w:rsid w:val="00133699"/>
    <w:rsid w:val="00141670"/>
    <w:rsid w:val="0017388B"/>
    <w:rsid w:val="001B35DC"/>
    <w:rsid w:val="001D474C"/>
    <w:rsid w:val="001D772A"/>
    <w:rsid w:val="001E0113"/>
    <w:rsid w:val="001E5250"/>
    <w:rsid w:val="00210F76"/>
    <w:rsid w:val="00215942"/>
    <w:rsid w:val="002241C8"/>
    <w:rsid w:val="0022621D"/>
    <w:rsid w:val="00237F76"/>
    <w:rsid w:val="00247EF9"/>
    <w:rsid w:val="00250966"/>
    <w:rsid w:val="00260DC2"/>
    <w:rsid w:val="00273853"/>
    <w:rsid w:val="002A4BA2"/>
    <w:rsid w:val="002B078E"/>
    <w:rsid w:val="002B5C24"/>
    <w:rsid w:val="002C1429"/>
    <w:rsid w:val="002C26DA"/>
    <w:rsid w:val="002D63DF"/>
    <w:rsid w:val="002E22E1"/>
    <w:rsid w:val="002F68FA"/>
    <w:rsid w:val="003008A5"/>
    <w:rsid w:val="00320F55"/>
    <w:rsid w:val="00345E96"/>
    <w:rsid w:val="0035084A"/>
    <w:rsid w:val="00355934"/>
    <w:rsid w:val="00356713"/>
    <w:rsid w:val="00365AA3"/>
    <w:rsid w:val="0037053C"/>
    <w:rsid w:val="00372844"/>
    <w:rsid w:val="00390399"/>
    <w:rsid w:val="003B44F4"/>
    <w:rsid w:val="003D36FA"/>
    <w:rsid w:val="003F5DAB"/>
    <w:rsid w:val="004010A9"/>
    <w:rsid w:val="00414117"/>
    <w:rsid w:val="0041617E"/>
    <w:rsid w:val="00424938"/>
    <w:rsid w:val="0043027C"/>
    <w:rsid w:val="004603FD"/>
    <w:rsid w:val="004870A5"/>
    <w:rsid w:val="004F0CBB"/>
    <w:rsid w:val="004F7453"/>
    <w:rsid w:val="00502827"/>
    <w:rsid w:val="00516170"/>
    <w:rsid w:val="00522529"/>
    <w:rsid w:val="00544EB2"/>
    <w:rsid w:val="0055443A"/>
    <w:rsid w:val="005562C5"/>
    <w:rsid w:val="00583A68"/>
    <w:rsid w:val="0059329A"/>
    <w:rsid w:val="005B3786"/>
    <w:rsid w:val="005B5C86"/>
    <w:rsid w:val="005C6131"/>
    <w:rsid w:val="005F6FE0"/>
    <w:rsid w:val="00621CB2"/>
    <w:rsid w:val="0062368C"/>
    <w:rsid w:val="006B2992"/>
    <w:rsid w:val="006C1654"/>
    <w:rsid w:val="006F2803"/>
    <w:rsid w:val="00723D45"/>
    <w:rsid w:val="007317F5"/>
    <w:rsid w:val="0073756D"/>
    <w:rsid w:val="00737D9E"/>
    <w:rsid w:val="00747103"/>
    <w:rsid w:val="00756EB7"/>
    <w:rsid w:val="0079142D"/>
    <w:rsid w:val="007A5B6A"/>
    <w:rsid w:val="007A77B2"/>
    <w:rsid w:val="007B704B"/>
    <w:rsid w:val="007D683F"/>
    <w:rsid w:val="007E1AB8"/>
    <w:rsid w:val="007E4D77"/>
    <w:rsid w:val="0080709E"/>
    <w:rsid w:val="00852F86"/>
    <w:rsid w:val="00880A5A"/>
    <w:rsid w:val="00893C79"/>
    <w:rsid w:val="008A487E"/>
    <w:rsid w:val="008B7F30"/>
    <w:rsid w:val="008D7FE3"/>
    <w:rsid w:val="008E0F90"/>
    <w:rsid w:val="008F3171"/>
    <w:rsid w:val="009058E1"/>
    <w:rsid w:val="009113AB"/>
    <w:rsid w:val="00911FBC"/>
    <w:rsid w:val="00914B38"/>
    <w:rsid w:val="00931946"/>
    <w:rsid w:val="00943663"/>
    <w:rsid w:val="00955FCB"/>
    <w:rsid w:val="00961DD2"/>
    <w:rsid w:val="00981026"/>
    <w:rsid w:val="00991E55"/>
    <w:rsid w:val="00993430"/>
    <w:rsid w:val="00995305"/>
    <w:rsid w:val="009C6E62"/>
    <w:rsid w:val="009D2609"/>
    <w:rsid w:val="00A11833"/>
    <w:rsid w:val="00A30029"/>
    <w:rsid w:val="00A310DB"/>
    <w:rsid w:val="00A336B5"/>
    <w:rsid w:val="00A5727B"/>
    <w:rsid w:val="00A72065"/>
    <w:rsid w:val="00AD5DD2"/>
    <w:rsid w:val="00B22565"/>
    <w:rsid w:val="00B26B0C"/>
    <w:rsid w:val="00B47409"/>
    <w:rsid w:val="00B67B82"/>
    <w:rsid w:val="00B75EE4"/>
    <w:rsid w:val="00B77477"/>
    <w:rsid w:val="00B77F87"/>
    <w:rsid w:val="00B94D56"/>
    <w:rsid w:val="00BA37BF"/>
    <w:rsid w:val="00BD043C"/>
    <w:rsid w:val="00BD59E0"/>
    <w:rsid w:val="00BE20C4"/>
    <w:rsid w:val="00BF324D"/>
    <w:rsid w:val="00C14C69"/>
    <w:rsid w:val="00C17B5F"/>
    <w:rsid w:val="00C22214"/>
    <w:rsid w:val="00C35B98"/>
    <w:rsid w:val="00C51756"/>
    <w:rsid w:val="00C53664"/>
    <w:rsid w:val="00C83523"/>
    <w:rsid w:val="00C84BD5"/>
    <w:rsid w:val="00CA2B0C"/>
    <w:rsid w:val="00CC21C3"/>
    <w:rsid w:val="00CC53FE"/>
    <w:rsid w:val="00CE71F2"/>
    <w:rsid w:val="00CF2808"/>
    <w:rsid w:val="00CF614D"/>
    <w:rsid w:val="00D00759"/>
    <w:rsid w:val="00D16FFF"/>
    <w:rsid w:val="00D5373D"/>
    <w:rsid w:val="00D6750F"/>
    <w:rsid w:val="00D70717"/>
    <w:rsid w:val="00DA16A0"/>
    <w:rsid w:val="00DA6D0F"/>
    <w:rsid w:val="00DB6FCF"/>
    <w:rsid w:val="00DD3116"/>
    <w:rsid w:val="00DD4371"/>
    <w:rsid w:val="00DE291E"/>
    <w:rsid w:val="00DF2295"/>
    <w:rsid w:val="00E2069D"/>
    <w:rsid w:val="00E22B6E"/>
    <w:rsid w:val="00E34991"/>
    <w:rsid w:val="00E35945"/>
    <w:rsid w:val="00E36965"/>
    <w:rsid w:val="00E6433B"/>
    <w:rsid w:val="00E65591"/>
    <w:rsid w:val="00E842E9"/>
    <w:rsid w:val="00E8512A"/>
    <w:rsid w:val="00EC7DC1"/>
    <w:rsid w:val="00F03C25"/>
    <w:rsid w:val="00F22CE5"/>
    <w:rsid w:val="00F242EE"/>
    <w:rsid w:val="00F83AD2"/>
    <w:rsid w:val="00F94557"/>
    <w:rsid w:val="00FB16F7"/>
    <w:rsid w:val="00FE3CF6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8279</Words>
  <Characters>47194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2023-06-08T09:50:00Z</cp:lastPrinted>
  <dcterms:created xsi:type="dcterms:W3CDTF">2024-11-18T09:51:00Z</dcterms:created>
  <dcterms:modified xsi:type="dcterms:W3CDTF">2025-06-04T06:27:00Z</dcterms:modified>
</cp:coreProperties>
</file>